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45" w:rsidRPr="00296A45" w:rsidRDefault="00296A45" w:rsidP="00296A4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296A4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 рекомендациях по порядку комплектования дошкольных образовательных учреждений</w:t>
      </w:r>
    </w:p>
    <w:p w:rsidR="00296A45" w:rsidRPr="00296A45" w:rsidRDefault="00296A45" w:rsidP="00296A4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296A45">
        <w:rPr>
          <w:rFonts w:ascii="Arial" w:eastAsia="Times New Roman" w:hAnsi="Arial" w:cs="Arial"/>
          <w:color w:val="3C3C3C"/>
          <w:spacing w:val="2"/>
          <w:sz w:val="31"/>
          <w:szCs w:val="31"/>
        </w:rPr>
        <w:t>     </w:t>
      </w:r>
      <w:r w:rsidRPr="00296A45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     Министерство образования и науки Российской Федерации</w:t>
      </w:r>
      <w:r w:rsidRPr="00296A45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ДЕПАРТАМЕНТ ГОСУДАРСТВЕННОЙ ПОЛИТИКИ В СФЕРЕ ОБЩЕГО ОБРАЗОВАНИЯ</w:t>
      </w:r>
    </w:p>
    <w:p w:rsidR="00296A45" w:rsidRPr="00296A45" w:rsidRDefault="00296A45" w:rsidP="00296A4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296A45">
        <w:rPr>
          <w:rFonts w:ascii="Arial" w:eastAsia="Times New Roman" w:hAnsi="Arial" w:cs="Arial"/>
          <w:color w:val="3C3C3C"/>
          <w:spacing w:val="2"/>
          <w:sz w:val="31"/>
          <w:szCs w:val="31"/>
        </w:rPr>
        <w:t>ПИСЬМО</w:t>
      </w:r>
    </w:p>
    <w:p w:rsidR="00296A45" w:rsidRPr="00296A45" w:rsidRDefault="00296A45" w:rsidP="00296A4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296A45">
        <w:rPr>
          <w:rFonts w:ascii="Arial" w:eastAsia="Times New Roman" w:hAnsi="Arial" w:cs="Arial"/>
          <w:color w:val="3C3C3C"/>
          <w:spacing w:val="2"/>
          <w:sz w:val="31"/>
          <w:szCs w:val="31"/>
        </w:rPr>
        <w:t>     </w:t>
      </w:r>
      <w:r w:rsidRPr="00296A45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от 8 августа 2013 года N 08-1063</w:t>
      </w:r>
    </w:p>
    <w:p w:rsidR="00296A45" w:rsidRPr="00296A45" w:rsidRDefault="00296A45" w:rsidP="00296A4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296A45">
        <w:rPr>
          <w:rFonts w:ascii="Arial" w:eastAsia="Times New Roman" w:hAnsi="Arial" w:cs="Arial"/>
          <w:color w:val="3C3C3C"/>
          <w:spacing w:val="2"/>
          <w:sz w:val="31"/>
          <w:szCs w:val="31"/>
        </w:rPr>
        <w:t>     </w:t>
      </w:r>
      <w:r w:rsidRPr="00296A45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     </w:t>
      </w:r>
      <w:r w:rsidRPr="00296A45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О </w:t>
      </w:r>
      <w:hyperlink r:id="rId5" w:history="1">
        <w:r w:rsidRPr="00296A45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</w:rPr>
          <w:t>рекомендациях по порядку комплектования дошкольных образовательных учреждений</w:t>
        </w:r>
      </w:hyperlink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В целях реализации положений </w:t>
      </w:r>
      <w:hyperlink r:id="rId6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 xml:space="preserve">Указа Президента Российской Федерации от 7 мая 2012 года N 599 "О мерах по реализации государственной политики в области образования и </w:t>
        </w:r>
        <w:proofErr w:type="spellStart"/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науки"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spell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части обеспечения доступности дошкольного образования, а также во исполнение решений совещания у Заместителя Председателя Правительства Российской Федерации </w:t>
      </w:r>
      <w:proofErr w:type="spell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О.Ю.Голодец</w:t>
      </w:r>
      <w:proofErr w:type="spell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от 16 июля 2013 года, Департамент государственной политики в сфере общего образования </w:t>
      </w:r>
      <w:proofErr w:type="spell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Минобрнауки</w:t>
      </w:r>
      <w:proofErr w:type="spellEnd"/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России направляет </w:t>
      </w:r>
      <w:hyperlink r:id="rId7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рекомендации по порядку комплектования образовательных учреждений, реализующих основную общеобразовательную программу дошкольного образования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, в которых предлагаются единые подходы к учету численности детей, нуждающихся в предоставлении места в образовательном учреждении, реализующем программы дошкольного образования, а также определяются единые сроки формирования реестра заявлений о предоставлении места в дошкольном учреждении в текущем учебном году.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End"/>
    </w:p>
    <w:p w:rsidR="00296A45" w:rsidRPr="00296A45" w:rsidRDefault="00296A45" w:rsidP="00296A4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Заместитель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директора Департамента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И.И.Тараданова</w:t>
      </w:r>
      <w:proofErr w:type="spellEnd"/>
    </w:p>
    <w:p w:rsidR="00296A45" w:rsidRDefault="00296A45" w:rsidP="00296A4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296A45" w:rsidRDefault="00296A45" w:rsidP="00296A4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296A45" w:rsidRDefault="00296A45" w:rsidP="00296A4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296A45" w:rsidRPr="00296A45" w:rsidRDefault="00296A45" w:rsidP="00296A4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bookmarkStart w:id="0" w:name="_GoBack"/>
      <w:bookmarkEnd w:id="0"/>
      <w:r w:rsidRPr="00296A45">
        <w:rPr>
          <w:rFonts w:ascii="Arial" w:eastAsia="Times New Roman" w:hAnsi="Arial" w:cs="Arial"/>
          <w:color w:val="3C3C3C"/>
          <w:spacing w:val="2"/>
          <w:sz w:val="31"/>
          <w:szCs w:val="31"/>
        </w:rPr>
        <w:lastRenderedPageBreak/>
        <w:t>Приложение. Рекомендации по порядку комплектования образовательных учреждений, реализующих основную общеобразовательную программу дошкольного образования</w:t>
      </w:r>
    </w:p>
    <w:p w:rsidR="00296A45" w:rsidRPr="00296A45" w:rsidRDefault="00296A45" w:rsidP="00296A4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296A45">
        <w:rPr>
          <w:rFonts w:ascii="Arial" w:eastAsia="Times New Roman" w:hAnsi="Arial" w:cs="Arial"/>
          <w:color w:val="4C4C4C"/>
          <w:spacing w:val="2"/>
          <w:sz w:val="29"/>
          <w:szCs w:val="29"/>
        </w:rPr>
        <w:t>I. Понятийная база</w:t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рекомендациях используются следующие понятия: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1. </w:t>
      </w:r>
      <w:proofErr w:type="gramStart"/>
      <w:r w:rsidRPr="00296A4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Учет детей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, нуждающихся в предоставлении места в образовательном учреждении, реализующем основную образовательную программу дошкольного образования (далее соответственно - учет, учреждение или ДОУ) - это государственная (муниципальная) услуга регистрации детей, нуждающихся в предоставлении места в учреждении, на едином общедоступном портале, специально созданном в сети Интернет, фиксирующая дату постановки ребенка на учет, желаемую дату предоставления ребенку места в учреждении, возраст ребенка.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Результатом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 учреждении и (или) иных формах.</w:t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2. Под </w:t>
      </w:r>
      <w:r w:rsidRPr="00296A4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очередностью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 в ДОУ понимается список детей, поставленных на учет для предоставления места в дошкольном учреждении в текущем учебном году, но таким местом не обеспеченных на дату начала учебного года (1 сентября текущего учебного года). </w:t>
      </w:r>
      <w:r w:rsidRPr="00296A4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Показатели очередности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 - это численность детей, входящих в указанный список.</w:t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3.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С целью получения объективной информации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 году (актуальный спрос) и в последующие годы (отложенный спрос), органы государственной власти субъекта Российской Федерации создают </w:t>
      </w:r>
      <w:r w:rsidRPr="00296A4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единый информационный ресурс (ЕИР)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, аккумулирующий данные о численности детей, поставленных на учет во всех городских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округах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(муниципальных районах), расположенных на территории субъекта Российской Федерации.</w:t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4. Под </w:t>
      </w:r>
      <w:r w:rsidRPr="00296A4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порядком комплектования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 ДОУ понимается последовательность действий учредителя при формировании контингента воспитанников дошкольных учреждений,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осуществляемых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 том числе ЕИР, созданным в муниципальном районе (городском округе) или в субъекте Российской Федерации. При установлении порядка комплектования ДОУ обеспечивается соблюдение прав граждан в области образования, установленных законодательством Российской Федерации. Учреждения комплектуются детьми, поставленными на учет для предоставления места в дошкольном учреждении.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296A45">
        <w:rPr>
          <w:rFonts w:ascii="Arial" w:eastAsia="Times New Roman" w:hAnsi="Arial" w:cs="Arial"/>
          <w:color w:val="4C4C4C"/>
          <w:spacing w:val="2"/>
          <w:sz w:val="29"/>
          <w:szCs w:val="29"/>
        </w:rPr>
        <w:t>II. Рекомендации по учету детей, нуждающихся в предоставлении места в ДОУ</w:t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Учет осуществляется в целях обеспечения "прозрачности" процедуры приема детей в ДОУ, </w:t>
      </w:r>
      <w:proofErr w:type="spell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избежания</w:t>
      </w:r>
      <w:proofErr w:type="spell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нарушений прав ребенка при приеме в ДОУ,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2. Учет осуществляется в порядке, установленном органами местного самоуправления муниципальных районов и городских округов. Учет осуществляет (ют) уполномоченный (</w:t>
      </w:r>
      <w:proofErr w:type="spell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ые</w:t>
      </w:r>
      <w:proofErr w:type="spell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 органами местного самоуправления орган (</w:t>
      </w:r>
      <w:proofErr w:type="spell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ны</w:t>
      </w:r>
      <w:proofErr w:type="spell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 или организация (</w:t>
      </w:r>
      <w:proofErr w:type="spell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ии</w:t>
      </w:r>
      <w:proofErr w:type="spell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) (далее - уполномоченный орган или организация). Учет может производиться на электронном и (или) бумажном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носителях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 указанием фамилии и имени ребенка, его возраста (числа полных лет), даты постановки на учет и желаемой даты предоставления места в ДОУ. Форма учетного документа утверждается соответствующими органами местного самоуправления муниципальных районов и городских округов.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3. Учет включает: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 ДОУ в первоочередном порядке (если таковое имеется).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В зависимости от даты, с которой планируется посещение ребенком ДОУ, реестр дифференцируется на списки </w:t>
      </w:r>
      <w:proofErr w:type="spell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погодового</w:t>
      </w:r>
      <w:proofErr w:type="spell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учета детей, нуждающихся в предоставлении места в ДОУ в текущем учебном году (с 1 сентября текущего календарного года) (актуальный спрос) и в последующие годы (отложенный спрос);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систематическое обновление реестра с учетом предоставления детям мест в ДОУ;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формирование списка "очередников" из числа детей, нуждающихся в предоставлении места в ДОУ в текущем учебном году, но таким местом не обеспеченные на дату начала учебного года (1 сентября текущего учебного года).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4. Учет рекомендуется организовать через единый информационный ресурс (ЕИР), созданный в муниципальном районе (городском округе) или в субъекте Российской Федерации.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 универсальными специалистами уполномоченного органа или организации 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уполномоченного органа или организации.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5. В заявлении о постановке на учёт в обязательном порядке указываются дата рождения ребенка, дата, с которой планируется начало посещения ребёнком дошкольного учреждения, адрес фактического проживания ребёнка, желательное (</w:t>
      </w:r>
      <w:proofErr w:type="spell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ые</w:t>
      </w:r>
      <w:proofErr w:type="spell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 ДОУ.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ДОУ 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указанные в заявлении.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заполнении интерактивной формы заявления ЕИР формирует список учреждений, из которых родители (законные представители) могут выбрать не более трех учреждений: первое из выбранных учреждений является приоритетным, другие - дополнительными.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End"/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 xml:space="preserve">6. Портал должен обеспечивать возможность отдельной постановки на учет детей с ограниченными возможностями здоровья для предоставления места в дошкольном учреждении или дошкольной группе компенсирующей, комбинированной или оздоровительной направленности для своевременной коррекции недостатков в физическом и (или) психическом развитии. Для этого на портале организуется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отдельный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ЕИР для муниципальной или региональной медико-психолого-педагогической комиссии (далее - ПМПК).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После регистрации заявления в ЕИР ребенок направляется на обследование в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муниципальную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(региональную) ПМПК, которая принимает решение о необходимости предоставления ребенку места в дошкольном учреждении или дошкольной группе компенсирующей, комбинированной или оздоровительной направленности. На основании решения ПМПК ребенок вносится в список детей с ограниченными возможностями здоровья, которым необходимо предоставить место в дошкольном учреждении или дошкольной группе компенсирующей, комбинированной или оздоровительной направленности.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7. Родителям (законным представителям) детей, представившим документы о постановке на учет лично, выдается сертификат (обязательство органов местного самоуправления) о предоставлении ребенку с требуемой даты места в ДОУ (далее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-с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ертификат) с указанием стоимости услуги дошкольного образования в соответствии с нормативом, установленным в соответствующем муниципальном районе или городском округе (субъекте Российской Федерации).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сертификата.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Сертификат содержит информацию: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 регистрационном номере заявления о постановке на учет;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 контактных телефонах или сайте уполномоченного органа или организации, по которому (на котором) родители (законные представители) могут узнать о продвижении очереди;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о вариативных формах дошкольного образования, которые могут быть предоставлены ребенку временно начиная с желаемой даты начала посещения ДОУ в течение установленного времени (но не дольше календарного года с желаемой даты) при невозможности предоставить место в ДОУ (группах кратковременного пребывания, негосударственных образовательных учреждениях, дошкольном образовании в форме психолого-педагогическое сопровождения содержания ребенка в семье, или о выплате компенсации за непосещение ребенком ДОУ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8. Уполномоченный орган или организация через ЕИР составляют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 первоочередном порядке.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9.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Список детей, нуждающихся в предоставлении места в ДОУ с 1 сентября текущего календарного года, формируется на определенную дату (не позднее даты начала комплектования дошкольных учреждений), установленную учредителем (например, на 1 июня календарного года для 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предоставления ребенку места с 1 сентября календарного года).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ДОУ.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Дети, родители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ДОУ необходимо предоставить с 1 сентября следующего календарного года.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После установленной даты в список детей могут быть также внесены изменения, касающиеся переноса даты поступления в ДОУ на последующие периоды и изменения данных ребенка.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10. Родители (законные представители) имеют право в срок до установленной учредителем даты (например, до 1 июня года, в котором планируется зачисление ребенка в ДОУ), внести следующие изменения в заявление с сохранением даты постановки ребенка на учет: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изменить ранее выбранный год поступления ребенка в ДОУ;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изменить выбранные ранее учреждения;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желании сменить учреждение, которое уже посещает ребенок, на другое, расположенное на территории городского округа или муниципального района (субъекта Российской Федерации);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изменить сведения о льготе;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изменить данные о ребенке (смена фамилии, имени, отчества, адреса).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Родители (законные представители) могут внести изменения в заявление через личный кабинет на Портале или при личном обращении в уполномоченный орган или организацию.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11. Дети, родители (законные представители) которых имеют право на внеочередное зачисление ребенка в учреждение: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 граждан, подвергшихся воздействию радиации вследствие катастрофы на Чернобыльской АЭС (</w:t>
      </w:r>
      <w:hyperlink r:id="rId8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Закон Российской Федерации от 15 мая 1991 года N 1244-1 "О социальной защите граждан, подвергшихся воздействию радиации вследствие катастрофы на Чернобыльской АЭС"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 граждан из подразделений особого риска, а также семей, потерявших кормильца из числа этих граждан (</w:t>
      </w:r>
      <w:hyperlink r:id="rId9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Постановление Верховного Совета Российской Федерации от 27 декабря 1991 года N 2123-1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 прокуроров (</w:t>
      </w:r>
      <w:hyperlink r:id="rId10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Федеральный закон от 17 января 1992 года N 2202-1 "О прокуратуре Российской Федерации"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 судей (</w:t>
      </w:r>
      <w:hyperlink r:id="rId11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Закон Российской Федерации от 26 июня 1992 года N 3132-1 "О статусе судей в Российской Федерации"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дети сотрудников Следственного комитета Российской Федерации (</w:t>
      </w:r>
      <w:hyperlink r:id="rId12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Федеральный закон от 28 декабря 2010 года N 403-ФЗ "О Следственном комитете Российской Федерации"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12. Дети, родители (законные представители) которых имеют право на первоочередное зачисление ребенка в учреждение: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 из многодетных семей (</w:t>
      </w:r>
      <w:hyperlink r:id="rId13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Указ Президента Российской Федерации от 5 мая 1992 года N 431 "О мерах по социальной поддержке семей"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дети-инвалиды и дети, один из родителей которых является инвалидом (</w:t>
      </w:r>
      <w:hyperlink r:id="rId14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Указ Президента Российской Федерации от 2 октября 1992 года N 1157 "О дополнительных мерах государственной поддержки инвалидов"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</w:t>
      </w:r>
      <w:hyperlink r:id="rId15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Федеральный закон от 27 мая 1998 года N 76-ФЗ "О статусе военнослужащих"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 сотрудников полиции (</w:t>
      </w:r>
      <w:hyperlink r:id="rId16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Федеральный закон от 7 февраля 2011 года N 3-ФЗ "О полиции"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</w:t>
      </w:r>
      <w:hyperlink r:id="rId17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Федеральный закон от 7 февраля 2011 года N 3-ФЗ "О полиции"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 сотрудника полиции, умершего вследствие заболевания, полученного в период прохождения службы в полиции (</w:t>
      </w:r>
      <w:hyperlink r:id="rId18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Федеральный закон от 7 февраля 2011 года N 3-ФЗ "О полиции"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</w:t>
      </w:r>
      <w:hyperlink r:id="rId19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Федеральный закон от 7 февраля 2011 года N 3-ФЗ "О полиции"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</w:t>
      </w:r>
      <w:hyperlink r:id="rId20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Федеральный закон от 7 февраля 2011 года N 3-ФЗ "О полиции"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 сотрудников органов внутренних дел, не являющихся сотрудниками полиции (</w:t>
      </w:r>
      <w:hyperlink r:id="rId21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Федеральный закон от 7 февраля 2011 года N 3-ФЗ "О полиции"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</w:t>
      </w:r>
      <w:hyperlink r:id="rId22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 xml:space="preserve">Федеральный закон от 30 декабря 2012 года N 283-ФЗ "О социальных гарантиях сотрудникам некоторых федеральных органов исполнительной </w:t>
        </w:r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lastRenderedPageBreak/>
          <w:t>власти и внесении изменений в отдельные законодательные акты</w:t>
        </w:r>
        <w:proofErr w:type="gramEnd"/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 xml:space="preserve"> </w:t>
        </w:r>
        <w:proofErr w:type="gramStart"/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Российской Федерации"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</w:t>
      </w:r>
      <w:hyperlink r:id="rId23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Федеральный закон от 30 декабря 2012 года N 283-ФЗ "О</w:t>
        </w:r>
        <w:proofErr w:type="gramEnd"/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 xml:space="preserve"> социальных </w:t>
        </w:r>
        <w:proofErr w:type="gramStart"/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гарантиях</w:t>
        </w:r>
        <w:proofErr w:type="gramEnd"/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</w:t>
      </w:r>
      <w:hyperlink r:id="rId24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Федеральный закон от 30 декабря 2012 года N 283-ФЗ "О социальных гарантиях сотрудникам</w:t>
        </w:r>
        <w:proofErr w:type="gramEnd"/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 xml:space="preserve">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дальнейшего прохождения службы в учреждениях и органах (</w:t>
      </w:r>
      <w:hyperlink r:id="rId25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Федеральный закон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</w:t>
      </w:r>
      <w:hyperlink r:id="rId26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Федеральный закон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года Пр-1227).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296A45">
        <w:rPr>
          <w:rFonts w:ascii="Arial" w:eastAsia="Times New Roman" w:hAnsi="Arial" w:cs="Arial"/>
          <w:color w:val="4C4C4C"/>
          <w:spacing w:val="2"/>
          <w:sz w:val="29"/>
          <w:szCs w:val="29"/>
        </w:rPr>
        <w:t>III. Рекомендации по порядку комплектования ДОУ</w:t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13.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 ДОУ</w:t>
      </w:r>
      <w:r w:rsidRPr="00296A45">
        <w:rPr>
          <w:rFonts w:ascii="Arial" w:eastAsia="Times New Roman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 wp14:anchorId="5722EDF4" wp14:editId="720F9C51">
                <wp:extent cx="85725" cy="219075"/>
                <wp:effectExtent l="0" t="0" r="0" b="0"/>
                <wp:docPr id="2" name="AutoShape 1" descr="О рекомендациях по порядку комплектования дошкольных образовательных учрежден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О рекомендациях по порядку комплектования дошкольных образовательных учреждени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 wp14:anchorId="5BECBC85" wp14:editId="24092624">
                <wp:extent cx="85725" cy="219075"/>
                <wp:effectExtent l="0" t="0" r="0" b="0"/>
                <wp:docPr id="1" name="AutoShape 2" descr="О рекомендациях по порядку комплектования дошкольных образовательных учрежден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О рекомендациях по порядку комплектования дошкольных образовательных учреждени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J9mfFg3AwAAVgYAAA4AAAAAAAAAAAAAAAAALgIAAGRycy9lMm9Eb2MueG1sUEsBAi0AFAAG&#10;AAgAAAAhAHuyZ5zcAAAAAwEAAA8AAAAAAAAAAAAAAAAAkQ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  <w:hyperlink r:id="rId27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Пункт 25 Типового положения о дошкольном образовательном учреждении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, утвержденного </w:t>
      </w:r>
      <w:hyperlink r:id="rId28" w:history="1">
        <w:r w:rsidRPr="00296A4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t>приказом Министерства образования и науки Российской Федерации от 27 октября 2011 года N 2562</w:t>
        </w:r>
      </w:hyperlink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 (зарегистрировано в Министерстве юстиции Российской Федерации 18 января 2012 года, регистрационный N 22946) ("Российская газета", 2012, N 15).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End"/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14. Учредитель комплектует учреждения ежегодно в установленный период времени (например, в период с 1 июня по 1 сентября текущего календарного года), распределяя по ДОУ детей, поставленных на учет для предоставления места в ДОУ и включенных в список детей, которым место в дошкольном учреждении необходимо с 1 сентября текущего года.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15. В остальное время производится комплектование ДОУ на свободные (освободившиеся, вновь созданные) места.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16. Если в процессе комплектования места в ДОУ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ДОУ на свободные (освобождающиеся, вновь созданные) места в течение учебного года либо учитываются в списке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нуждающихся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 месте в ДОУ с 1 сентября следующего календарного года.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17. Учредитель систематически (не реже одного раза в месяц) в течение календарного года обобщает и анализирует через ЕИР сведения о наличии в 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18. При комплектовании ДОУ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19. При отсутствии свободных мест в выбранных ДОУ,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Портале. Родителям (законным представителям) предлагается в течение 14 календарных дней выбрать ДОУ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из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предложенных.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 xml:space="preserve">20.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отказе родителей (законных представителей) или при отсутствии их согласия/отказа от предложенных (предложенного) ДОУ изменяется желаемая дата поступления на следующий учебный год с сохранением даты постановки на учет.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Информация об изменении желаемой даты поступления ребенка размещается в личном кабинете на Портале.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21. В случае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proofErr w:type="gramEnd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если органы местного самоуправления не могут обеспечить местом в ДОУ ребенка из списка поставленных на учет с 1 сентября текущего года,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форм, в том числе: в дошкольных группах, созданных в образовательных учреждениях других типов и видов; в семье посредством психолого-педагогического сопровождения его воспитания и образования; в негосударственном образовательном учреждении; в семейных дошкольных группах; в группах кратковременного пребывания; в иных формах и учреждениях.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ДОУ с 1 сентября следующего года.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22. </w:t>
      </w:r>
      <w:proofErr w:type="gramStart"/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Если в процессе комплектования места предоставлены всем детям из поименного списка нуждающихся в местах в ДОУ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End"/>
    </w:p>
    <w:p w:rsidR="00296A45" w:rsidRPr="00296A45" w:rsidRDefault="00296A45" w:rsidP="00296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t>23. Учредитель извещает родителей (законных представителей) детей: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 времени предоставления ребенку места в ДОУ;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 возможности ознакомиться с правилами приема в ДОУ, утвержденными руководителем ДОУ, в частности, о документах, которые необходимо представить руководителю ДОУ для приема ребенка в ДОУ и о сроках приема руководителем ДОУ указанных документов.</w:t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96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754AF2" w:rsidRDefault="00754AF2"/>
    <w:sectPr w:rsidR="00754AF2" w:rsidSect="00296A4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45"/>
    <w:rsid w:val="00296A45"/>
    <w:rsid w:val="00503BFF"/>
    <w:rsid w:val="00754AF2"/>
    <w:rsid w:val="00D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FF"/>
  </w:style>
  <w:style w:type="paragraph" w:styleId="2">
    <w:name w:val="heading 2"/>
    <w:basedOn w:val="a"/>
    <w:next w:val="a"/>
    <w:link w:val="20"/>
    <w:uiPriority w:val="9"/>
    <w:unhideWhenUsed/>
    <w:qFormat/>
    <w:rsid w:val="00503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BFF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9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FF"/>
  </w:style>
  <w:style w:type="paragraph" w:styleId="2">
    <w:name w:val="heading 2"/>
    <w:basedOn w:val="a"/>
    <w:next w:val="a"/>
    <w:link w:val="20"/>
    <w:uiPriority w:val="9"/>
    <w:unhideWhenUsed/>
    <w:qFormat/>
    <w:rsid w:val="00503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BFF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9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4360" TargetMode="External"/><Relationship Id="rId13" Type="http://schemas.openxmlformats.org/officeDocument/2006/relationships/hyperlink" Target="http://docs.cntd.ru/document/9003021" TargetMode="External"/><Relationship Id="rId18" Type="http://schemas.openxmlformats.org/officeDocument/2006/relationships/hyperlink" Target="http://docs.cntd.ru/document/902260215" TargetMode="External"/><Relationship Id="rId26" Type="http://schemas.openxmlformats.org/officeDocument/2006/relationships/hyperlink" Target="http://docs.cntd.ru/document/9023896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260215" TargetMode="External"/><Relationship Id="rId7" Type="http://schemas.openxmlformats.org/officeDocument/2006/relationships/hyperlink" Target="http://docs.cntd.ru/document/499054156" TargetMode="External"/><Relationship Id="rId12" Type="http://schemas.openxmlformats.org/officeDocument/2006/relationships/hyperlink" Target="http://docs.cntd.ru/document/902253789" TargetMode="External"/><Relationship Id="rId17" Type="http://schemas.openxmlformats.org/officeDocument/2006/relationships/hyperlink" Target="http://docs.cntd.ru/document/902260215" TargetMode="External"/><Relationship Id="rId25" Type="http://schemas.openxmlformats.org/officeDocument/2006/relationships/hyperlink" Target="http://docs.cntd.ru/document/9023896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260215" TargetMode="External"/><Relationship Id="rId20" Type="http://schemas.openxmlformats.org/officeDocument/2006/relationships/hyperlink" Target="http://docs.cntd.ru/document/90226021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5105" TargetMode="External"/><Relationship Id="rId11" Type="http://schemas.openxmlformats.org/officeDocument/2006/relationships/hyperlink" Target="http://docs.cntd.ru/document/9004453" TargetMode="External"/><Relationship Id="rId24" Type="http://schemas.openxmlformats.org/officeDocument/2006/relationships/hyperlink" Target="http://docs.cntd.ru/document/902389652" TargetMode="External"/><Relationship Id="rId5" Type="http://schemas.openxmlformats.org/officeDocument/2006/relationships/hyperlink" Target="http://docs.cntd.ru/document/499054156" TargetMode="External"/><Relationship Id="rId15" Type="http://schemas.openxmlformats.org/officeDocument/2006/relationships/hyperlink" Target="http://docs.cntd.ru/document/901709264" TargetMode="External"/><Relationship Id="rId23" Type="http://schemas.openxmlformats.org/officeDocument/2006/relationships/hyperlink" Target="http://docs.cntd.ru/document/902389652" TargetMode="External"/><Relationship Id="rId28" Type="http://schemas.openxmlformats.org/officeDocument/2006/relationships/hyperlink" Target="http://docs.cntd.ru/document/902323482" TargetMode="External"/><Relationship Id="rId10" Type="http://schemas.openxmlformats.org/officeDocument/2006/relationships/hyperlink" Target="http://docs.cntd.ru/document/9004584" TargetMode="External"/><Relationship Id="rId19" Type="http://schemas.openxmlformats.org/officeDocument/2006/relationships/hyperlink" Target="http://docs.cntd.ru/document/902260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3378" TargetMode="External"/><Relationship Id="rId14" Type="http://schemas.openxmlformats.org/officeDocument/2006/relationships/hyperlink" Target="http://docs.cntd.ru/document/9003154" TargetMode="External"/><Relationship Id="rId22" Type="http://schemas.openxmlformats.org/officeDocument/2006/relationships/hyperlink" Target="http://docs.cntd.ru/document/902389652" TargetMode="External"/><Relationship Id="rId27" Type="http://schemas.openxmlformats.org/officeDocument/2006/relationships/hyperlink" Target="http://docs.cntd.ru/document/90232348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2014-08-18T08:20:00Z</cp:lastPrinted>
  <dcterms:created xsi:type="dcterms:W3CDTF">2014-08-18T08:19:00Z</dcterms:created>
  <dcterms:modified xsi:type="dcterms:W3CDTF">2014-08-18T08:21:00Z</dcterms:modified>
</cp:coreProperties>
</file>